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50AD395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467CC2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77CF373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4283D">
        <w:rPr>
          <w:b/>
          <w:sz w:val="24"/>
          <w:szCs w:val="24"/>
        </w:rPr>
        <w:t>40-04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0C36B087" w:rsidR="008A79AF" w:rsidRPr="00446718" w:rsidRDefault="0077693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Ш.М.М.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207EC728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6477481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39523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4283D">
        <w:rPr>
          <w:sz w:val="24"/>
          <w:szCs w:val="24"/>
        </w:rPr>
        <w:t>40-04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6E198A81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283D" w:rsidRPr="0054283D">
        <w:rPr>
          <w:sz w:val="24"/>
          <w:szCs w:val="24"/>
        </w:rPr>
        <w:t>20.03.2023г. в Адвокатскую палату Московской области поступило обращение судьи Т</w:t>
      </w:r>
      <w:r w:rsidR="0077693A">
        <w:rPr>
          <w:sz w:val="24"/>
          <w:szCs w:val="24"/>
        </w:rPr>
        <w:t>.</w:t>
      </w:r>
      <w:r w:rsidR="0054283D" w:rsidRPr="0054283D">
        <w:rPr>
          <w:sz w:val="24"/>
          <w:szCs w:val="24"/>
        </w:rPr>
        <w:t xml:space="preserve"> районного суда города М</w:t>
      </w:r>
      <w:r w:rsidR="0077693A">
        <w:rPr>
          <w:sz w:val="24"/>
          <w:szCs w:val="24"/>
        </w:rPr>
        <w:t>.</w:t>
      </w:r>
      <w:r w:rsidR="0054283D" w:rsidRPr="0054283D">
        <w:rPr>
          <w:sz w:val="24"/>
          <w:szCs w:val="24"/>
        </w:rPr>
        <w:t xml:space="preserve"> Д.К.П</w:t>
      </w:r>
      <w:r w:rsidR="0077693A">
        <w:rPr>
          <w:sz w:val="24"/>
          <w:szCs w:val="24"/>
        </w:rPr>
        <w:t>.</w:t>
      </w:r>
      <w:r w:rsidR="0054283D" w:rsidRPr="0054283D">
        <w:rPr>
          <w:sz w:val="24"/>
          <w:szCs w:val="24"/>
        </w:rPr>
        <w:t xml:space="preserve"> в отношении адвоката </w:t>
      </w:r>
      <w:r w:rsidR="0077693A">
        <w:rPr>
          <w:sz w:val="24"/>
          <w:szCs w:val="24"/>
        </w:rPr>
        <w:t>Ш.М.М.</w:t>
      </w:r>
      <w:r w:rsidR="0054283D" w:rsidRPr="0054283D">
        <w:rPr>
          <w:sz w:val="24"/>
          <w:szCs w:val="24"/>
        </w:rPr>
        <w:t>, имеющего регистрационный номер</w:t>
      </w:r>
      <w:proofErr w:type="gramStart"/>
      <w:r w:rsidR="0054283D" w:rsidRPr="0054283D">
        <w:rPr>
          <w:sz w:val="24"/>
          <w:szCs w:val="24"/>
        </w:rPr>
        <w:t xml:space="preserve"> </w:t>
      </w:r>
      <w:r w:rsidR="0077693A">
        <w:rPr>
          <w:sz w:val="24"/>
          <w:szCs w:val="24"/>
        </w:rPr>
        <w:t>….</w:t>
      </w:r>
      <w:proofErr w:type="gramEnd"/>
      <w:r w:rsidR="0077693A">
        <w:rPr>
          <w:sz w:val="24"/>
          <w:szCs w:val="24"/>
        </w:rPr>
        <w:t>.</w:t>
      </w:r>
      <w:r w:rsidR="0054283D" w:rsidRPr="005428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7693A">
        <w:rPr>
          <w:sz w:val="24"/>
          <w:szCs w:val="24"/>
        </w:rPr>
        <w:t>…..</w:t>
      </w:r>
    </w:p>
    <w:p w14:paraId="22F0EE26" w14:textId="02D5A941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4283D" w:rsidRPr="0054283D">
        <w:rPr>
          <w:sz w:val="24"/>
          <w:szCs w:val="24"/>
        </w:rPr>
        <w:t>адвокат ненадлежащим образом исполнял свои профессиональные обязанности, а именно: в судебном заседании 09.02.2023, 10.03.2023 г. допускал многочисленные нарушения порядка в судебном заседании</w:t>
      </w:r>
      <w:r w:rsidR="00EB79B3" w:rsidRPr="00EB79B3">
        <w:rPr>
          <w:sz w:val="24"/>
          <w:szCs w:val="24"/>
        </w:rPr>
        <w:t xml:space="preserve">. </w:t>
      </w:r>
    </w:p>
    <w:p w14:paraId="0FECE998" w14:textId="396447A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283D">
        <w:rPr>
          <w:sz w:val="24"/>
          <w:szCs w:val="24"/>
        </w:rPr>
        <w:t>23.03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4E9F8E3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283D">
        <w:rPr>
          <w:sz w:val="24"/>
          <w:szCs w:val="24"/>
        </w:rPr>
        <w:t>27.03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4283D">
        <w:rPr>
          <w:sz w:val="24"/>
          <w:szCs w:val="24"/>
        </w:rPr>
        <w:t>1371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4283D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54283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7A4D948" w14:textId="014062E9" w:rsidR="0054283D" w:rsidRDefault="0054283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24.04.2023г. рассмотрение дисциплинарного производства квалификационной комиссией было отложено. </w:t>
      </w:r>
    </w:p>
    <w:p w14:paraId="204ED2B3" w14:textId="2ECB6927" w:rsidR="0054283D" w:rsidRDefault="0054283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</w:t>
      </w:r>
      <w:r w:rsidR="00BB29B9">
        <w:rPr>
          <w:sz w:val="24"/>
          <w:szCs w:val="24"/>
        </w:rPr>
        <w:t>.</w:t>
      </w:r>
      <w:r>
        <w:rPr>
          <w:sz w:val="24"/>
          <w:szCs w:val="24"/>
        </w:rPr>
        <w:t xml:space="preserve">05.2023г. заявителю был направлен </w:t>
      </w:r>
      <w:r w:rsidRPr="00A85A87">
        <w:rPr>
          <w:sz w:val="24"/>
          <w:szCs w:val="24"/>
        </w:rPr>
        <w:t>Запрос Ответственного секретаря квалификационной комиссии №</w:t>
      </w:r>
      <w:r>
        <w:rPr>
          <w:sz w:val="24"/>
          <w:szCs w:val="24"/>
        </w:rPr>
        <w:t xml:space="preserve"> 2059 о представлении дополнительных доказательств, подтверждающих доводы, изложенные в обращении</w:t>
      </w:r>
      <w:r w:rsidR="00BB29B9">
        <w:rPr>
          <w:sz w:val="24"/>
          <w:szCs w:val="24"/>
        </w:rPr>
        <w:t xml:space="preserve">. 05.06.2023г. от заявителя поступил ответ на запрос, в котором сообщается, что представленные ранее аудиозаписи протоколов судебных заседаний дают возможность вывить нарушения, допущенные адвокатом. </w:t>
      </w:r>
    </w:p>
    <w:p w14:paraId="7DF1E185" w14:textId="30B0910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283D"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</w:t>
      </w:r>
      <w:r w:rsidR="0054283D">
        <w:rPr>
          <w:sz w:val="24"/>
          <w:szCs w:val="24"/>
        </w:rPr>
        <w:t>ась</w:t>
      </w:r>
      <w:r w:rsidR="0039523B">
        <w:rPr>
          <w:sz w:val="24"/>
          <w:szCs w:val="24"/>
        </w:rPr>
        <w:t>, уведомлен</w:t>
      </w:r>
      <w:r w:rsidR="0054283D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43659ABC" w14:textId="116C0364" w:rsidR="00425ABE" w:rsidRPr="00446718" w:rsidRDefault="005428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5348DA20" w:rsidR="007D18F9" w:rsidRPr="00EB79B3" w:rsidRDefault="0054283D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54283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7693A">
        <w:rPr>
          <w:sz w:val="24"/>
          <w:szCs w:val="24"/>
        </w:rPr>
        <w:t>Ш.М.М.</w:t>
      </w:r>
      <w:r w:rsidRPr="0054283D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1FDCF9E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</w:t>
      </w:r>
      <w:r w:rsidR="0054283D">
        <w:rPr>
          <w:sz w:val="24"/>
          <w:szCs w:val="24"/>
          <w:lang w:eastAsia="en-US"/>
        </w:rPr>
        <w:t>ась</w:t>
      </w:r>
      <w:r w:rsidR="0086064E">
        <w:rPr>
          <w:sz w:val="24"/>
          <w:szCs w:val="24"/>
          <w:lang w:eastAsia="en-US"/>
        </w:rPr>
        <w:t>, уведомлен</w:t>
      </w:r>
      <w:r w:rsidR="0054283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A73F89F" w14:textId="3E39EF10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86064E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86064E">
        <w:rPr>
          <w:sz w:val="24"/>
          <w:szCs w:val="24"/>
          <w:lang w:eastAsia="en-US"/>
        </w:rPr>
        <w:t xml:space="preserve">согласился </w:t>
      </w:r>
      <w:r w:rsidR="00086D2C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0FC7CF1" w14:textId="24B408A6" w:rsidR="00D56D7C" w:rsidRPr="009A6A3F" w:rsidRDefault="00D56D7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абстрактные и неконкретные ссылки заявителя на многочисленные нарушения порядка в судебном заседании не свидетельствуют о несоблюдении адвокатом требований пп.пп.1),4) п.1 ст.7 ФЗ «Об адвокатской деятельности и адвокатуре в РФ», ст.12 КПЭА. Полемическая природа судопроизводства по своей сути предполагает спорные ситуации в ходе судебного разбирательства, разрешение которых должно осуществляться в установленных процессуальных формах.</w:t>
      </w:r>
    </w:p>
    <w:p w14:paraId="08376D45" w14:textId="7C1EF662" w:rsidR="00D56D7C" w:rsidRDefault="00D56D7C" w:rsidP="00D56D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Применительно к материалам конкретного дисциплинарного дела, заявитель, являющийся профессионалом, обладает достаточной квалификацией для надлежащей оценки применимых стандартов доказывания, в связи с чем Совет не имеет оснований считать его уязвимой либо незащищённой стороной рассматриваемого правоотношения.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1B5B03F7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77693A">
        <w:rPr>
          <w:sz w:val="24"/>
          <w:szCs w:val="24"/>
          <w:lang w:eastAsia="en-US"/>
        </w:rPr>
        <w:t>Ш.М.М.</w:t>
      </w:r>
      <w:r>
        <w:rPr>
          <w:sz w:val="24"/>
          <w:szCs w:val="24"/>
          <w:lang w:eastAsia="en-US"/>
        </w:rPr>
        <w:t>, имеюще</w:t>
      </w:r>
      <w:r w:rsidR="0086064E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77693A">
        <w:rPr>
          <w:sz w:val="24"/>
          <w:szCs w:val="24"/>
          <w:lang w:eastAsia="en-US"/>
        </w:rPr>
        <w:t>….</w:t>
      </w:r>
      <w:proofErr w:type="gramEnd"/>
      <w:r w:rsidR="0077693A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36574EF0" w14:textId="77777777" w:rsidR="009F3ACC" w:rsidRDefault="009F3ACC" w:rsidP="00C162FD">
      <w:pPr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125F" w14:textId="77777777" w:rsidR="00B259FB" w:rsidRDefault="00B259FB" w:rsidP="00C01A07">
      <w:r>
        <w:separator/>
      </w:r>
    </w:p>
  </w:endnote>
  <w:endnote w:type="continuationSeparator" w:id="0">
    <w:p w14:paraId="28638530" w14:textId="77777777" w:rsidR="00B259FB" w:rsidRDefault="00B259F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8884" w14:textId="77777777" w:rsidR="00B259FB" w:rsidRDefault="00B259FB" w:rsidP="00C01A07">
      <w:r>
        <w:separator/>
      </w:r>
    </w:p>
  </w:footnote>
  <w:footnote w:type="continuationSeparator" w:id="0">
    <w:p w14:paraId="4C560F68" w14:textId="77777777" w:rsidR="00B259FB" w:rsidRDefault="00B259F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F4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36146346">
    <w:abstractNumId w:val="29"/>
  </w:num>
  <w:num w:numId="2" w16cid:durableId="1841118487">
    <w:abstractNumId w:val="13"/>
  </w:num>
  <w:num w:numId="3" w16cid:durableId="964431373">
    <w:abstractNumId w:val="20"/>
  </w:num>
  <w:num w:numId="4" w16cid:durableId="747654564">
    <w:abstractNumId w:val="19"/>
  </w:num>
  <w:num w:numId="5" w16cid:durableId="284240250">
    <w:abstractNumId w:val="24"/>
  </w:num>
  <w:num w:numId="6" w16cid:durableId="589629087">
    <w:abstractNumId w:val="2"/>
  </w:num>
  <w:num w:numId="7" w16cid:durableId="11803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89314">
    <w:abstractNumId w:val="8"/>
  </w:num>
  <w:num w:numId="9" w16cid:durableId="617176088">
    <w:abstractNumId w:val="28"/>
  </w:num>
  <w:num w:numId="10" w16cid:durableId="1485002350">
    <w:abstractNumId w:val="10"/>
  </w:num>
  <w:num w:numId="11" w16cid:durableId="398789045">
    <w:abstractNumId w:val="26"/>
  </w:num>
  <w:num w:numId="12" w16cid:durableId="1948611597">
    <w:abstractNumId w:val="9"/>
  </w:num>
  <w:num w:numId="13" w16cid:durableId="18364076">
    <w:abstractNumId w:val="6"/>
  </w:num>
  <w:num w:numId="14" w16cid:durableId="1565797542">
    <w:abstractNumId w:val="22"/>
  </w:num>
  <w:num w:numId="15" w16cid:durableId="256864299">
    <w:abstractNumId w:val="21"/>
  </w:num>
  <w:num w:numId="16" w16cid:durableId="155265256">
    <w:abstractNumId w:val="16"/>
  </w:num>
  <w:num w:numId="17" w16cid:durableId="167983084">
    <w:abstractNumId w:val="17"/>
  </w:num>
  <w:num w:numId="18" w16cid:durableId="397092487">
    <w:abstractNumId w:val="18"/>
  </w:num>
  <w:num w:numId="19" w16cid:durableId="316568285">
    <w:abstractNumId w:val="25"/>
  </w:num>
  <w:num w:numId="20" w16cid:durableId="6103783">
    <w:abstractNumId w:val="1"/>
  </w:num>
  <w:num w:numId="21" w16cid:durableId="1232961336">
    <w:abstractNumId w:val="7"/>
  </w:num>
  <w:num w:numId="22" w16cid:durableId="1219130738">
    <w:abstractNumId w:val="14"/>
  </w:num>
  <w:num w:numId="23" w16cid:durableId="220404682">
    <w:abstractNumId w:val="0"/>
  </w:num>
  <w:num w:numId="24" w16cid:durableId="406809683">
    <w:abstractNumId w:val="5"/>
  </w:num>
  <w:num w:numId="25" w16cid:durableId="283196634">
    <w:abstractNumId w:val="11"/>
  </w:num>
  <w:num w:numId="26" w16cid:durableId="100032625">
    <w:abstractNumId w:val="4"/>
  </w:num>
  <w:num w:numId="27" w16cid:durableId="1518159014">
    <w:abstractNumId w:val="3"/>
  </w:num>
  <w:num w:numId="28" w16cid:durableId="1254316333">
    <w:abstractNumId w:val="27"/>
  </w:num>
  <w:num w:numId="29" w16cid:durableId="757750744">
    <w:abstractNumId w:val="12"/>
  </w:num>
  <w:num w:numId="30" w16cid:durableId="134568257">
    <w:abstractNumId w:val="23"/>
  </w:num>
  <w:num w:numId="31" w16cid:durableId="936907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7CC2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1F6C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83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693A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59FB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9B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62FD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6D7C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8007B5A1-DE86-4A62-8320-8E9575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3EF4-B08E-4CFC-88F8-0B489EC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2023-07-20T11:51:00Z</dcterms:created>
  <dcterms:modified xsi:type="dcterms:W3CDTF">2023-08-17T14:29:00Z</dcterms:modified>
</cp:coreProperties>
</file>